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74" w:rsidRPr="00B00974" w:rsidRDefault="00B00974" w:rsidP="00B407D8">
      <w:pPr>
        <w:widowControl w:val="0"/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009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Итоги деятельности за </w:t>
      </w:r>
      <w:r w:rsidR="00B407D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январь-сентябрь </w:t>
      </w:r>
      <w:bookmarkStart w:id="0" w:name="_GoBack"/>
      <w:bookmarkEnd w:id="0"/>
      <w:r w:rsidRPr="00B00974">
        <w:rPr>
          <w:rFonts w:ascii="Times New Roman" w:eastAsia="Times New Roman" w:hAnsi="Times New Roman"/>
          <w:b/>
          <w:sz w:val="32"/>
          <w:szCs w:val="32"/>
          <w:lang w:eastAsia="ru-RU"/>
        </w:rPr>
        <w:t>2014 года</w:t>
      </w:r>
    </w:p>
    <w:p w:rsidR="00B00974" w:rsidRPr="00B00974" w:rsidRDefault="00B00974" w:rsidP="00B00974">
      <w:pPr>
        <w:widowControl w:val="0"/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0974" w:rsidRPr="00B00974" w:rsidRDefault="00B00974" w:rsidP="00B00974">
      <w:pPr>
        <w:widowControl w:val="0"/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974">
        <w:rPr>
          <w:rFonts w:ascii="Times New Roman" w:eastAsia="Times New Roman" w:hAnsi="Times New Roman"/>
          <w:b/>
          <w:sz w:val="28"/>
          <w:szCs w:val="28"/>
          <w:lang w:eastAsia="ru-RU"/>
        </w:rPr>
        <w:t>Промышленность</w:t>
      </w:r>
    </w:p>
    <w:p w:rsidR="00B00974" w:rsidRPr="00563D00" w:rsidRDefault="00B00974" w:rsidP="00B009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0974" w:rsidRPr="00563D00" w:rsidRDefault="00B00974" w:rsidP="00B00974">
      <w:pPr>
        <w:widowControl w:val="0"/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563D00">
        <w:rPr>
          <w:rFonts w:ascii="Times New Roman" w:hAnsi="Times New Roman"/>
          <w:b/>
          <w:bCs/>
          <w:sz w:val="28"/>
          <w:szCs w:val="28"/>
          <w:lang w:eastAsia="ru-RU"/>
        </w:rPr>
        <w:t>ндекс промышленного производства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по всем видам экономической деятельности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за 9 месяцев 2014 года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составил 104,4%,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в том числе по добыче полезных ископаемых – 99,7%, по обрабатывающим производствам – 109%, </w:t>
      </w:r>
      <w:r w:rsidRPr="00563D00">
        <w:rPr>
          <w:rFonts w:ascii="Times New Roman" w:hAnsi="Times New Roman"/>
          <w:sz w:val="28"/>
          <w:szCs w:val="28"/>
          <w:lang w:eastAsia="ru-RU"/>
        </w:rPr>
        <w:t>по производству и распределению электр</w:t>
      </w:r>
      <w:proofErr w:type="gramStart"/>
      <w:r w:rsidRPr="00563D00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теплоэнергии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>– 86,8%.</w:t>
      </w:r>
    </w:p>
    <w:p w:rsidR="00B00974" w:rsidRPr="00563D00" w:rsidRDefault="00B00974" w:rsidP="00B0097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Ускоренными  темпами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в отчетном периоде развивались предприятия производства пищевых продуктов, включая напитки  (139,6%), химического производства (114,1%), прочих производств (101,7%),  рост производства прочих неметаллических продуктов составил 2,1 раза. </w:t>
      </w:r>
    </w:p>
    <w:p w:rsidR="00B00974" w:rsidRPr="00563D00" w:rsidRDefault="00B00974" w:rsidP="00B00974">
      <w:pPr>
        <w:tabs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</w:rPr>
        <w:t>Положительная динамика</w:t>
      </w:r>
      <w:r w:rsidRPr="00563D00">
        <w:rPr>
          <w:rFonts w:ascii="Times New Roman" w:hAnsi="Times New Roman"/>
          <w:sz w:val="28"/>
          <w:szCs w:val="28"/>
        </w:rPr>
        <w:t xml:space="preserve"> индекса промышленного производства была обеспечена за счет увеличения к уровню аналогичного периода 2013 года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производства серной кислоты – на 13,7%, цинка - на 21,5%, молибдена – в 4,6 раза, кадмия – на  10,7%, вод минеральных – в 2,8 раза,  пива – в 2,8 раза, рыбы – в 1,8 раза, изделий мучных кондитерских  - 1,5 раза, спецодежды – в 1,7 раза, белья постельного – на 15,7%, печатной продукции </w:t>
      </w:r>
      <w:proofErr w:type="gramStart"/>
      <w:r w:rsidRPr="00563D00">
        <w:rPr>
          <w:rFonts w:ascii="Times New Roman" w:hAnsi="Times New Roman"/>
          <w:sz w:val="28"/>
          <w:szCs w:val="28"/>
          <w:lang w:eastAsia="ru-RU"/>
        </w:rPr>
        <w:t>–в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2,6 раза,  извести строительной – в  1,6 раза, кирпича  - на 25,6%.  </w:t>
      </w:r>
    </w:p>
    <w:p w:rsidR="00B00974" w:rsidRPr="00563D00" w:rsidRDefault="00B00974" w:rsidP="00B009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</w:rPr>
        <w:t xml:space="preserve">Вместе с тем, </w:t>
      </w:r>
      <w:r w:rsidRPr="00563D00">
        <w:rPr>
          <w:rFonts w:ascii="Times New Roman" w:hAnsi="Times New Roman"/>
          <w:b/>
          <w:sz w:val="28"/>
          <w:szCs w:val="28"/>
        </w:rPr>
        <w:t>снижение показателей</w:t>
      </w:r>
      <w:r w:rsidRPr="00563D00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допущено в производстве вольфрама на 84%, водки – на 24,5%, спирта этилового – на 30,7%, вин столовых – на 43,1%, одеял – на 28,2%, тюлевого полотна – на 31,8%, шпона строганного – </w:t>
      </w:r>
      <w:proofErr w:type="gramStart"/>
      <w:r w:rsidRPr="00563D00">
        <w:rPr>
          <w:rFonts w:ascii="Times New Roman" w:hAnsi="Times New Roman"/>
          <w:sz w:val="28"/>
          <w:szCs w:val="28"/>
        </w:rPr>
        <w:t>на</w:t>
      </w:r>
      <w:proofErr w:type="gramEnd"/>
      <w:r w:rsidRPr="00563D00">
        <w:rPr>
          <w:rFonts w:ascii="Times New Roman" w:hAnsi="Times New Roman"/>
          <w:sz w:val="28"/>
          <w:szCs w:val="28"/>
        </w:rPr>
        <w:t xml:space="preserve"> 68,6%.</w:t>
      </w:r>
      <w:r w:rsidRPr="00563D00">
        <w:rPr>
          <w:sz w:val="28"/>
          <w:szCs w:val="28"/>
        </w:rPr>
        <w:t xml:space="preserve"> </w:t>
      </w:r>
    </w:p>
    <w:p w:rsidR="00B00974" w:rsidRPr="00563D00" w:rsidRDefault="00B00974" w:rsidP="00B009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 xml:space="preserve">На электрогенерирующих предприятиях республики за январь-сентябрь текущего года выработка электроэнергии </w:t>
      </w:r>
      <w:r w:rsidRPr="00563D00">
        <w:rPr>
          <w:rFonts w:ascii="Times New Roman" w:hAnsi="Times New Roman"/>
          <w:b/>
          <w:sz w:val="28"/>
          <w:szCs w:val="28"/>
          <w:lang w:eastAsia="ru-RU"/>
        </w:rPr>
        <w:t xml:space="preserve">снизилась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на 14,6%, что обусловлено сходом в мае-июне 2014 года лавин в Грузии, а также запланированным в </w:t>
      </w:r>
      <w:r w:rsidRPr="00563D00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квартале 2014 года на ГТС ГЭС проведением ремонтных работ.</w:t>
      </w:r>
    </w:p>
    <w:p w:rsidR="00B00974" w:rsidRPr="00563D00" w:rsidRDefault="00B00974" w:rsidP="00B00974">
      <w:pPr>
        <w:widowControl w:val="0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Объём отгруженной промышленной продукции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за январь-сентябрь 2014 года достиг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16379,1 </w:t>
      </w:r>
      <w:proofErr w:type="gramStart"/>
      <w:r w:rsidRPr="00563D00">
        <w:rPr>
          <w:rFonts w:ascii="Times New Roman" w:hAnsi="Times New Roman" w:cs="Tahoma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рублей и составил 102,5% к показателю в 2013 году, в том числе по </w:t>
      </w:r>
      <w:r w:rsidRPr="00563D00">
        <w:rPr>
          <w:rFonts w:ascii="Times New Roman" w:hAnsi="Times New Roman"/>
          <w:sz w:val="28"/>
          <w:szCs w:val="28"/>
          <w:lang w:eastAsia="ru-RU"/>
        </w:rPr>
        <w:t>видам экономической деятельности: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добыче полезных ископаемых – 348,1млн рублей (119,3%), по обрабатывающим производствам – 11498,6 млн рублей (96,8%), по производству и распределению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электро- 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– 4532,4 млн рублей (118,9%). </w:t>
      </w:r>
    </w:p>
    <w:p w:rsidR="00B00974" w:rsidRPr="00563D00" w:rsidRDefault="00B00974" w:rsidP="00B009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Удельный вес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обрабатывающих производств в общем объеме отгруженной промышленной продукции составил 70,2% производства и распределения электроэнергии – 27,7%, добычи полезных ископаемых – 2,1%. Ведущую роль в структуре объема отгруженной продукции обрабатывающих производств за январь-сентябрь 2014 года занимают: производство пищевых продуктов, включая напитки (41,8%), металлургическое производство (37,1%). </w:t>
      </w:r>
    </w:p>
    <w:p w:rsidR="00B00974" w:rsidRPr="00563D00" w:rsidRDefault="00B00974" w:rsidP="00B00974">
      <w:pPr>
        <w:widowControl w:val="0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proofErr w:type="gramStart"/>
      <w:r w:rsidRPr="00563D00">
        <w:rPr>
          <w:rFonts w:ascii="Times New Roman" w:hAnsi="Times New Roman"/>
          <w:b/>
          <w:sz w:val="28"/>
          <w:szCs w:val="28"/>
          <w:lang w:eastAsia="ru-RU"/>
        </w:rPr>
        <w:t>Рост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объемов отгруженной продукции по видам деятельности к объемам  2013 года составил: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в производстве прочих пищевых продуктов </w:t>
      </w:r>
      <w:r>
        <w:rPr>
          <w:rFonts w:ascii="Times New Roman" w:hAnsi="Times New Roman" w:cs="Tahoma"/>
          <w:sz w:val="28"/>
          <w:szCs w:val="28"/>
          <w:lang w:eastAsia="ru-RU"/>
        </w:rPr>
        <w:t>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в 2,3 раза, производстве изделий из бетона, гипса и цемента </w:t>
      </w:r>
      <w:r>
        <w:rPr>
          <w:rFonts w:ascii="Times New Roman" w:hAnsi="Times New Roman" w:cs="Tahoma"/>
          <w:sz w:val="28"/>
          <w:szCs w:val="28"/>
          <w:lang w:eastAsia="ru-RU"/>
        </w:rPr>
        <w:t>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в  3,7 раза, производстве одежды, выделки и крашения меха </w:t>
      </w:r>
      <w:r>
        <w:rPr>
          <w:rFonts w:ascii="Times New Roman" w:hAnsi="Times New Roman" w:cs="Tahoma"/>
          <w:sz w:val="28"/>
          <w:szCs w:val="28"/>
          <w:lang w:eastAsia="ru-RU"/>
        </w:rPr>
        <w:t>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128,9%, в издательской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lastRenderedPageBreak/>
        <w:t xml:space="preserve">деятельности  </w:t>
      </w:r>
      <w:r>
        <w:rPr>
          <w:rFonts w:ascii="Times New Roman" w:hAnsi="Times New Roman" w:cs="Tahoma"/>
          <w:sz w:val="28"/>
          <w:szCs w:val="28"/>
          <w:lang w:eastAsia="ru-RU"/>
        </w:rPr>
        <w:t>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131,3%, прои</w:t>
      </w:r>
      <w:r>
        <w:rPr>
          <w:rFonts w:ascii="Times New Roman" w:hAnsi="Times New Roman" w:cs="Tahoma"/>
          <w:sz w:val="28"/>
          <w:szCs w:val="28"/>
          <w:lang w:eastAsia="ru-RU"/>
        </w:rPr>
        <w:t>зводстве пластмассовых изделий – 142,9%, изделий из стекла – 115,5%, производстве мебели – 140,4%, тепловой энергии 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в 2,3 раза. </w:t>
      </w:r>
      <w:proofErr w:type="gramEnd"/>
    </w:p>
    <w:p w:rsidR="00B00974" w:rsidRPr="00563D00" w:rsidRDefault="00B00974" w:rsidP="00B00974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D00">
        <w:rPr>
          <w:rFonts w:ascii="Times New Roman" w:hAnsi="Times New Roman"/>
          <w:b/>
          <w:sz w:val="28"/>
          <w:szCs w:val="28"/>
          <w:lang w:eastAsia="ru-RU"/>
        </w:rPr>
        <w:t>Увеличили объемы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отгружаемой продукции ООО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Ирафская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швейная фабрика» (в 2,3 раза), ОАО «НПО «Бином» (105,1%),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Кавдоломит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(133,4%), ОАО «Крон» (131,3%), ОАО «Разряд» (113,3%), ЗАО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Рокос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(108,7%), ОАО «Янтарь» (в 2,6 раза), ОАО «Радуга» (120,5%), ОАО «АЗС» (117%),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Иристонстекло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(120,6%), ООО «ВТЦ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Баспик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(122,3%), УПП «ВОС» (136,9%),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Электроцинк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(114,2%),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Электронкомплекс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» (134,9%), ОАО «Моздокские узоры (128,2%),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Терско-Кумская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ПМК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(193,8%).</w:t>
      </w:r>
    </w:p>
    <w:p w:rsidR="00B00974" w:rsidRPr="00563D00" w:rsidRDefault="00B00974" w:rsidP="00B00974">
      <w:pPr>
        <w:widowControl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Снизили объемы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отгрузки продукции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Бесланский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щебзавод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(86,4%), ОАО «Победит» (83,6%), ОАО «Магнит» (88,6%), ОАО «Моздокская швейная фабрика» (95%), ОАО «ВВРЗ» (84,2%),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Электроконтактор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» (94,2%), ООО «Луч» (87,7%),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Алагирский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ДОЗ (36,7%), ОАО «Гран (76,8%), ОАО «Кетон» (93,8%), ОАО «Одежда» (62,5%).  </w:t>
      </w:r>
    </w:p>
    <w:p w:rsidR="00B00974" w:rsidRPr="00563D00" w:rsidRDefault="00B00974" w:rsidP="00B00974">
      <w:pPr>
        <w:widowControl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Снижение объемов производства и отгрузки продукции обусловлено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сокращением оборонных и государственных заказов на предприятиях оборонно-промышленного комплекса, усилением конкуренции вследствие роста импорта в текстильной отрасли, использованием на большинстве предприятий устаревших материалоемких 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энергозатратных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технологий, способствующих росту себестоимости конечной продукции.</w:t>
      </w:r>
      <w:r w:rsidRPr="00563D00">
        <w:t xml:space="preserve"> </w:t>
      </w:r>
      <w:r w:rsidRPr="00563D00">
        <w:rPr>
          <w:rFonts w:ascii="Times New Roman" w:hAnsi="Times New Roman"/>
          <w:sz w:val="28"/>
          <w:szCs w:val="28"/>
        </w:rPr>
        <w:t xml:space="preserve">Отсутствие реальной возможности возобновления лицензий у большинства предприятий алкогольной промышленности обусловило снижение спроса на </w:t>
      </w:r>
      <w:proofErr w:type="spellStart"/>
      <w:r w:rsidRPr="00563D00">
        <w:rPr>
          <w:rFonts w:ascii="Times New Roman" w:hAnsi="Times New Roman"/>
          <w:sz w:val="28"/>
          <w:szCs w:val="28"/>
        </w:rPr>
        <w:t>гофротару</w:t>
      </w:r>
      <w:proofErr w:type="spellEnd"/>
      <w:r w:rsidRPr="00563D00">
        <w:rPr>
          <w:rFonts w:ascii="Times New Roman" w:hAnsi="Times New Roman"/>
          <w:sz w:val="28"/>
          <w:szCs w:val="28"/>
        </w:rPr>
        <w:t xml:space="preserve"> для республиканской алкоголь производящей отрасли.</w:t>
      </w:r>
      <w:r w:rsidRPr="00563D00">
        <w:rPr>
          <w:sz w:val="28"/>
          <w:szCs w:val="28"/>
        </w:rPr>
        <w:t xml:space="preserve">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Кроме того, факторами, сдерживающими рост производства, явились повышение тарифов на электроэнергию и транспортные услуги, а также высокая стоимость банковских ресурсов.</w:t>
      </w:r>
    </w:p>
    <w:p w:rsidR="00B00974" w:rsidRPr="00563D00" w:rsidRDefault="00B00974" w:rsidP="00B0097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3DF" w:rsidRPr="00B00974" w:rsidRDefault="006203DF" w:rsidP="00B00974"/>
    <w:sectPr w:rsidR="006203DF" w:rsidRPr="00B0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36"/>
    <w:rsid w:val="006203DF"/>
    <w:rsid w:val="008F4836"/>
    <w:rsid w:val="00B00974"/>
    <w:rsid w:val="00B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2014-12-10T13:04:00Z</dcterms:created>
  <dcterms:modified xsi:type="dcterms:W3CDTF">2014-12-10T13:26:00Z</dcterms:modified>
</cp:coreProperties>
</file>